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word/_rels/document.xml.rels" ContentType="application/vnd.openxmlformats-package.relationship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left="5103" w:hanging="0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>Приложение № 1</w:t>
      </w:r>
      <w:r>
        <w:rPr>
          <w:sz w:val="22"/>
          <w:szCs w:val="22"/>
          <w:highlight w:val="lightGray"/>
        </w:rPr>
        <w:t>2</w:t>
      </w:r>
    </w:p>
    <w:p>
      <w:pPr>
        <w:pStyle w:val="Normal"/>
        <w:spacing w:lineRule="auto" w:line="240"/>
        <w:ind w:left="5103" w:hanging="0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 xml:space="preserve">к Договору подряда </w:t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  <w:highlight w:val="lightGray"/>
        </w:rPr>
        <w:t>от «____» __________ 20 _ г. № ____</w:t>
      </w:r>
    </w:p>
    <w:p>
      <w:pPr>
        <w:pStyle w:val="Normal"/>
        <w:spacing w:lineRule="auto" w:line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предоставления ресурсов и оказания Заказчиком услуг, </w:t>
      </w:r>
    </w:p>
    <w:p>
      <w:pPr>
        <w:pStyle w:val="Normal"/>
        <w:spacing w:lineRule="auto" w:line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необходимых для исполнения Подрядчиком обязательств по Договору</w:t>
      </w:r>
    </w:p>
    <w:p>
      <w:pPr>
        <w:pStyle w:val="Normal"/>
        <w:spacing w:lineRule="auto" w:line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284" w:leader="none"/>
        </w:tabs>
        <w:ind w:left="0" w:hanging="0"/>
        <w:jc w:val="center"/>
        <w:rPr>
          <w:b/>
        </w:rPr>
      </w:pPr>
      <w:r>
        <w:rPr>
          <w:b/>
        </w:rPr>
        <w:t>Общие положения</w:t>
      </w:r>
    </w:p>
    <w:p>
      <w:pPr>
        <w:pStyle w:val="Normal"/>
        <w:spacing w:lineRule="auto" w:line="24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целях оказания содействия Подрядчику в выполнении работ по Договору Заказчик обеспечивает Подрядчика коммунальными ресурсами, а также предоставляет Подрядчику услуги, указанные в разделе ___ «Иные условия поставки товара, выполнения работ, оказания услуг» Технического задания (Приложение № 1 к Договору).  </w:t>
      </w:r>
    </w:p>
    <w:p>
      <w:pPr>
        <w:pStyle w:val="Normal"/>
        <w:spacing w:lineRule="auto" w:line="24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Техническое задание содержит полный перечень услуг (количественные, качественные и иные характеристики, время и место их предоставления, ограничения). </w:t>
      </w:r>
    </w:p>
    <w:p>
      <w:pPr>
        <w:pStyle w:val="Normal"/>
        <w:spacing w:lineRule="auto" w:line="240"/>
        <w:ind w:firstLine="709"/>
        <w:rPr>
          <w:sz w:val="24"/>
          <w:szCs w:val="24"/>
        </w:rPr>
      </w:pPr>
      <w:r>
        <w:rPr>
          <w:sz w:val="24"/>
          <w:szCs w:val="24"/>
        </w:rPr>
        <w:t>Предоставление Заказчиком ресурсов и услуг, указанных в Техническом задании (Приложение № 1 к Договору) осуществляется без дополнительной оплаты со стороны Подрядчика. В сметной документации затраты Заказчика на ресурсы и услуги не учитываются.</w:t>
      </w:r>
    </w:p>
    <w:p>
      <w:pPr>
        <w:pStyle w:val="Normal"/>
        <w:spacing w:lineRule="auto" w:line="240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в зависимости от объема и состава работ, выполняемых Подрядчиком по Договору, может предоставлять / оказывать Подрядчику следующие ресурсы и / или услуги:</w:t>
      </w:r>
    </w:p>
    <w:p>
      <w:pPr>
        <w:pStyle w:val="Normal"/>
        <w:numPr>
          <w:ilvl w:val="0"/>
          <w:numId w:val="4"/>
        </w:numPr>
        <w:spacing w:lineRule="auto" w:line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>Перемещение грузов грузоподъемными механизмами Заказчика.</w:t>
      </w:r>
    </w:p>
    <w:p>
      <w:pPr>
        <w:pStyle w:val="Normal"/>
        <w:numPr>
          <w:ilvl w:val="0"/>
          <w:numId w:val="5"/>
        </w:numPr>
        <w:spacing w:lineRule="auto" w:line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Коммунальные ресурсы:</w:t>
      </w:r>
    </w:p>
    <w:p>
      <w:pPr>
        <w:pStyle w:val="Normal"/>
        <w:numPr>
          <w:ilvl w:val="1"/>
          <w:numId w:val="6"/>
        </w:numPr>
        <w:spacing w:lineRule="auto" w:line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Электроэнергия.</w:t>
      </w:r>
    </w:p>
    <w:p>
      <w:pPr>
        <w:pStyle w:val="Normal"/>
        <w:numPr>
          <w:ilvl w:val="1"/>
          <w:numId w:val="7"/>
        </w:numPr>
        <w:spacing w:lineRule="auto" w:line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>Водоснабжение и водоотведение.</w:t>
      </w:r>
    </w:p>
    <w:p>
      <w:pPr>
        <w:pStyle w:val="Normal"/>
        <w:numPr>
          <w:ilvl w:val="1"/>
          <w:numId w:val="8"/>
        </w:numPr>
        <w:spacing w:lineRule="auto" w:line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>Сжатый воздух.</w:t>
      </w:r>
    </w:p>
    <w:p>
      <w:pPr>
        <w:pStyle w:val="Normal"/>
        <w:numPr>
          <w:ilvl w:val="0"/>
          <w:numId w:val="9"/>
        </w:numPr>
        <w:spacing w:lineRule="auto" w:line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Обеспечение санитарно-гигиенических и бытовых условий.</w:t>
      </w:r>
    </w:p>
    <w:p>
      <w:pPr>
        <w:pStyle w:val="Normal"/>
        <w:numPr>
          <w:ilvl w:val="0"/>
          <w:numId w:val="10"/>
        </w:numPr>
        <w:spacing w:lineRule="auto" w:line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>Содержание пожарной и сторожевой охраны.</w:t>
      </w:r>
    </w:p>
    <w:p>
      <w:pPr>
        <w:pStyle w:val="Normal"/>
        <w:numPr>
          <w:ilvl w:val="0"/>
          <w:numId w:val="11"/>
        </w:numPr>
        <w:spacing w:lineRule="auto" w:line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Благоустройство и содержание строительных площадок.</w:t>
      </w:r>
    </w:p>
    <w:p>
      <w:pPr>
        <w:pStyle w:val="Normal"/>
        <w:numPr>
          <w:ilvl w:val="0"/>
          <w:numId w:val="12"/>
        </w:numPr>
        <w:spacing w:lineRule="auto" w:line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Проведение химического анализа масел.</w:t>
      </w:r>
    </w:p>
    <w:p>
      <w:pPr>
        <w:pStyle w:val="Normal"/>
        <w:numPr>
          <w:ilvl w:val="0"/>
          <w:numId w:val="13"/>
        </w:numPr>
        <w:spacing w:lineRule="auto" w:line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>Осушение оборудования (проточная часть гидроагрегата).</w:t>
      </w:r>
    </w:p>
    <w:p>
      <w:pPr>
        <w:pStyle w:val="Normal"/>
        <w:numPr>
          <w:ilvl w:val="0"/>
          <w:numId w:val="14"/>
        </w:numPr>
        <w:spacing w:lineRule="auto" w:line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доступа к корпоративной сети </w:t>
      </w:r>
      <w:r>
        <w:rPr>
          <w:sz w:val="24"/>
          <w:szCs w:val="24"/>
          <w:lang w:val="en-US"/>
        </w:rPr>
        <w:t>IntraNet</w:t>
      </w:r>
      <w:r>
        <w:rPr>
          <w:sz w:val="24"/>
          <w:szCs w:val="24"/>
        </w:rPr>
        <w:t>.</w:t>
      </w:r>
    </w:p>
    <w:p>
      <w:pPr>
        <w:pStyle w:val="Normal"/>
        <w:numPr>
          <w:ilvl w:val="0"/>
          <w:numId w:val="15"/>
        </w:numPr>
        <w:spacing w:lineRule="auto" w:line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Предоставление помещений:</w:t>
      </w:r>
    </w:p>
    <w:p>
      <w:pPr>
        <w:pStyle w:val="Normal"/>
        <w:numPr>
          <w:ilvl w:val="1"/>
          <w:numId w:val="16"/>
        </w:numPr>
        <w:spacing w:lineRule="auto" w:line="240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Помещений / площадок для размещения персонала Подрядчика; </w:t>
      </w:r>
    </w:p>
    <w:p>
      <w:pPr>
        <w:pStyle w:val="Normal"/>
        <w:numPr>
          <w:ilvl w:val="1"/>
          <w:numId w:val="17"/>
        </w:numPr>
        <w:spacing w:lineRule="auto" w:line="240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>Складских помещений и / или площадок для погрузки / разгрузки / складирования / хранения материально-технических ресурсов, оборудования Подрядчика, а также давальческих материалов и запасных частей, оборудования Заказчика.</w:t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284" w:leader="none"/>
          <w:tab w:val="left" w:pos="1418" w:leader="none"/>
        </w:tabs>
        <w:ind w:left="0" w:hanging="0"/>
        <w:jc w:val="center"/>
        <w:rPr>
          <w:b/>
        </w:rPr>
      </w:pPr>
      <w:r>
        <w:rPr>
          <w:b/>
        </w:rPr>
        <w:t>Порядок предоставления ресурсов и услуг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134" w:leader="none"/>
          <w:tab w:val="left" w:pos="1418" w:leader="none"/>
        </w:tabs>
        <w:spacing w:before="0" w:after="120"/>
        <w:ind w:left="0" w:firstLine="709"/>
        <w:contextualSpacing/>
        <w:jc w:val="both"/>
        <w:rPr>
          <w:b/>
          <w:u w:val="single"/>
        </w:rPr>
      </w:pPr>
      <w:r>
        <w:rPr>
          <w:u w:val="single"/>
        </w:rPr>
        <w:t>Перемещение грузов грузоподъемными механизмами (далее – ГПМ) Заказчика</w:t>
      </w:r>
    </w:p>
    <w:p>
      <w:pPr>
        <w:pStyle w:val="Normal"/>
        <w:spacing w:lineRule="auto" w:line="240"/>
        <w:ind w:firstLine="709"/>
        <w:rPr>
          <w:sz w:val="24"/>
          <w:szCs w:val="24"/>
        </w:rPr>
      </w:pPr>
      <w:r>
        <w:rPr>
          <w:sz w:val="24"/>
          <w:szCs w:val="24"/>
        </w:rPr>
        <w:t>Услуги по перемещению грузов ГПМ Заказчика предоставляются по предварительным заявкам Подрядчика. Вид ГПМ, используемых для оказания услуг, определяются Заказчиком самостоятельно.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/>
        <w:ind w:firstLine="709"/>
        <w:rPr>
          <w:sz w:val="24"/>
          <w:szCs w:val="24"/>
        </w:rPr>
      </w:pPr>
      <w:r>
        <w:rPr>
          <w:sz w:val="24"/>
          <w:szCs w:val="24"/>
        </w:rPr>
        <w:t>Управление ГПМ осуществляют работники Заказчика, имеющие специальную квалификацию (прошедшие обучение и аттестацию) и опыт работы, или работники специализированной эксплуатирующей организации, привлечённой Заказчиком для оказания услуг.</w:t>
      </w:r>
    </w:p>
    <w:p>
      <w:pPr>
        <w:pStyle w:val="Normal"/>
        <w:spacing w:lineRule="auto" w:line="240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обеспечивает содержание ГПМ в работоспособном состоянии, в том числе путем организации и планирования технического освидетельствования, технического обслуживания и ремонтов, а также соблюдение технологического процесса транспортировки грузов.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134" w:leader="none"/>
        </w:tabs>
        <w:spacing w:before="0" w:after="120"/>
        <w:ind w:left="0" w:firstLine="709"/>
        <w:contextualSpacing/>
        <w:rPr>
          <w:u w:val="single"/>
        </w:rPr>
      </w:pPr>
      <w:r>
        <w:rPr>
          <w:u w:val="single"/>
        </w:rPr>
        <w:t>Предоставление ресурсов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12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Заказчик обеспечивает Подрядчика ресурсами (электроэнергией, водой, сжатым воздухом), необходимыми для бытовых и производственных нужд по потребности Подрядчика.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134" w:leader="none"/>
        </w:tabs>
        <w:spacing w:before="0" w:after="0"/>
        <w:ind w:left="0" w:firstLine="709"/>
        <w:contextualSpacing w:val="false"/>
        <w:jc w:val="both"/>
        <w:rPr/>
      </w:pPr>
      <w:r>
        <w:rPr>
          <w:u w:val="single"/>
        </w:rPr>
        <w:t>Обеспечение санитарно-гигиенических и бытовых условий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rPr/>
      </w:pPr>
      <w:r>
        <w:rPr>
          <w:bCs/>
          <w:sz w:val="24"/>
          <w:szCs w:val="24"/>
        </w:rPr>
        <w:t xml:space="preserve">Заказчик по установленным нормам оборудует санитарно-бытовые помещения, помещения для приема пищи, помещения для оказания медицинской помощи; организует посты для оказания первой медицинской помощи, укомплектованные аптечками, предоставляет душевые и уборные при их наличии в местах производства работ, и другое </w:t>
      </w:r>
      <w:r>
        <w:rPr>
          <w:sz w:val="24"/>
          <w:szCs w:val="24"/>
        </w:rPr>
        <w:t xml:space="preserve">обеспечение санитарно-гигиенических и бытовых </w:t>
      </w:r>
      <w:r>
        <w:rPr>
          <w:bCs/>
          <w:sz w:val="24"/>
          <w:szCs w:val="24"/>
        </w:rPr>
        <w:t xml:space="preserve">условий.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rPr/>
      </w:pPr>
      <w:r>
        <w:rPr>
          <w:sz w:val="24"/>
          <w:szCs w:val="24"/>
          <w:u w:val="single"/>
        </w:rPr>
        <w:t>Содержание пожарной и сторожевой охраны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rPr/>
      </w:pPr>
      <w:r>
        <w:rPr>
          <w:sz w:val="24"/>
          <w:szCs w:val="24"/>
        </w:rPr>
        <w:t xml:space="preserve">Обеспечение пожарной и сторожевой охраны места производства Работ, осуществляет Заказчик в соответствии с установленными им правилами.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rPr/>
      </w:pPr>
      <w:r>
        <w:rPr>
          <w:sz w:val="24"/>
          <w:szCs w:val="24"/>
          <w:u w:val="single"/>
        </w:rPr>
        <w:t>Благоустройство и содержание строительных площадок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lineRule="auto" w:line="240" w:before="0" w:after="0"/>
        <w:ind w:firstLine="709"/>
        <w:rPr/>
      </w:pPr>
      <w:r>
        <w:rPr>
          <w:sz w:val="24"/>
          <w:szCs w:val="24"/>
        </w:rPr>
        <w:t>Уборку места производства Работ, вывоз строительного мусора и отходов Подрядчика, образовавшихся в ходе выполнения Работ, в места, отведенные Заказчиком, обеспечивает Подрядчик.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lineRule="auto" w:line="240" w:before="0" w:after="0"/>
        <w:ind w:firstLine="709"/>
        <w:rPr/>
      </w:pPr>
      <w:r>
        <w:rPr>
          <w:sz w:val="24"/>
          <w:szCs w:val="24"/>
        </w:rPr>
        <w:t xml:space="preserve">Заказчик несет расходы, связанные с освещением места производства Работ: на электроэнергию, электролампочки, оплату труда (с отчислениями на социальные нужды) дежурных электромонтеров и другие расходы в соответствии с установленными Заказчиком правилами. При этом, дополнительное освещение мест производства Работ, при необходимости, обеспечивает Подрядчик (кроме затрат на ресурсы, предоставляемые Заказчиком в соответствии с пунктом 2 настоящего Порядка «Предоставление ресурсов»).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134" w:leader="none"/>
          <w:tab w:val="left" w:pos="1418" w:leader="none"/>
        </w:tabs>
        <w:spacing w:lineRule="auto" w:line="240" w:before="0" w:after="0"/>
        <w:ind w:left="0" w:firstLine="709"/>
        <w:rPr/>
      </w:pPr>
      <w:r>
        <w:rPr>
          <w:sz w:val="24"/>
          <w:szCs w:val="24"/>
          <w:u w:val="single"/>
        </w:rPr>
        <w:t>Проведение химического анализа масел</w:t>
      </w:r>
    </w:p>
    <w:p>
      <w:pPr>
        <w:pStyle w:val="Normal"/>
        <w:tabs>
          <w:tab w:val="clear" w:pos="708"/>
          <w:tab w:val="left" w:pos="1134" w:leader="none"/>
          <w:tab w:val="left" w:pos="1418" w:leader="none"/>
        </w:tabs>
        <w:spacing w:lineRule="auto" w:line="240" w:before="0" w:after="0"/>
        <w:ind w:firstLine="709"/>
        <w:rPr/>
      </w:pPr>
      <w:r>
        <w:rPr>
          <w:sz w:val="24"/>
          <w:szCs w:val="24"/>
        </w:rPr>
        <w:t>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134" w:leader="none"/>
          <w:tab w:val="left" w:pos="1418" w:leader="none"/>
        </w:tabs>
        <w:spacing w:lineRule="auto" w:line="240" w:before="0" w:after="0"/>
        <w:ind w:left="0" w:firstLine="709"/>
        <w:rPr/>
      </w:pPr>
      <w:r>
        <w:rPr>
          <w:sz w:val="24"/>
          <w:szCs w:val="24"/>
          <w:u w:val="single"/>
        </w:rPr>
        <w:t>Осушение оборудования (проточная часть гидроагрегата)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rPr/>
      </w:pPr>
      <w:r>
        <w:rPr>
          <w:sz w:val="24"/>
          <w:szCs w:val="24"/>
        </w:rPr>
        <w:t>Заказчик по письменной заявке Подрядчика осуществляет осушение проточной части гидроагрегата в соответствии с утвержденным графиком.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rPr/>
      </w:pPr>
      <w:r>
        <w:rPr>
          <w:sz w:val="24"/>
          <w:szCs w:val="24"/>
          <w:u w:val="single"/>
        </w:rPr>
        <w:t>Порядок предоставления помещений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обеспечивает</w:t>
      </w:r>
      <w:r>
        <w:rPr>
          <w:bCs/>
          <w:sz w:val="24"/>
          <w:szCs w:val="24"/>
        </w:rPr>
        <w:t xml:space="preserve"> Подрядчика помещениями (помещения/ площадки для размещения персонала подрядчика; складские помещения и / или площадки для погрузки / разгрузки/ складирования / хранения материально-технических ресурсов, оборудования подрядчика, а также давальческих материалов и запасных частей, оборудования и иного переданного Заказчиком имущества)</w:t>
      </w:r>
      <w:r>
        <w:rPr>
          <w:sz w:val="24"/>
          <w:szCs w:val="24"/>
        </w:rPr>
        <w:t>, необходимыми для размещения персонала и хранения материально-технических ресурсов и оборудования, выполнения Работ по Договору.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/>
        <w:ind w:firstLine="709"/>
        <w:rPr>
          <w:sz w:val="24"/>
          <w:szCs w:val="24"/>
        </w:rPr>
      </w:pPr>
      <w:r>
        <w:rPr>
          <w:sz w:val="24"/>
          <w:szCs w:val="24"/>
        </w:rPr>
        <w:t>Передача помещений осуществляется на основании акта сдачи-приемки по форме, согласованной Сторонами.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/>
        <w:ind w:firstLine="709"/>
        <w:rPr>
          <w:bCs/>
          <w:sz w:val="24"/>
          <w:szCs w:val="24"/>
        </w:rPr>
      </w:pPr>
      <w:r>
        <w:rPr>
          <w:sz w:val="24"/>
          <w:szCs w:val="24"/>
        </w:rPr>
        <w:t xml:space="preserve">Заказчик несет расходы по капитальному и текущему ремонту предоставленных в пользование </w:t>
      </w:r>
      <w:r>
        <w:rPr>
          <w:bCs/>
          <w:sz w:val="24"/>
          <w:szCs w:val="24"/>
        </w:rPr>
        <w:t>помещений</w:t>
      </w:r>
      <w:r>
        <w:rPr>
          <w:sz w:val="24"/>
          <w:szCs w:val="24"/>
        </w:rPr>
        <w:t xml:space="preserve">. Подрядчик </w:t>
      </w:r>
      <w:r>
        <w:rPr>
          <w:bCs/>
          <w:sz w:val="24"/>
          <w:szCs w:val="24"/>
        </w:rPr>
        <w:t xml:space="preserve">обеспечивает уборку и сохранность переданных Заказчиком по соответствующим актам сдачи-приемки помещений, а также возврат их Заказчику в первоначальном состоянии с учетом естественного износа не позднее даты окончания выполнения Работ, либо, в случаях прекращения (расторжения) Договора, – не позднее 3 (трех) рабочих дней с даты получения соответствующего требования Заказчика. 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tbl>
      <w:tblPr>
        <w:tblW w:w="1471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4669"/>
        <w:gridCol w:w="5023"/>
        <w:gridCol w:w="5025"/>
      </w:tblGrid>
      <w:tr>
        <w:trPr>
          <w:trHeight w:val="221" w:hRule="atLeast"/>
        </w:trPr>
        <w:tc>
          <w:tcPr>
            <w:tcW w:w="466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502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  <w:tc>
          <w:tcPr>
            <w:tcW w:w="50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377" w:hRule="atLeast"/>
        </w:trPr>
        <w:tc>
          <w:tcPr>
            <w:tcW w:w="466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 / _______________ 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2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 __________</w:t>
            </w:r>
          </w:p>
        </w:tc>
        <w:tc>
          <w:tcPr>
            <w:tcW w:w="50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left="5103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/>
      </w:r>
    </w:p>
    <w:sectPr>
      <w:headerReference w:type="default" r:id="rId2"/>
      <w:type w:val="nextPage"/>
      <w:pgSz w:w="11906" w:h="16838"/>
      <w:pgMar w:left="1418" w:right="567" w:gutter="0" w:header="567" w:top="624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Wingdings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hd w:val="clear" w:color="auto" w:fill="FFFFFF"/>
      <w:tabs>
        <w:tab w:val="clear" w:pos="708"/>
        <w:tab w:val="left" w:pos="3148" w:leader="none"/>
        <w:tab w:val="center" w:pos="4818" w:leader="none"/>
        <w:tab w:val="left" w:pos="6926" w:leader="none"/>
      </w:tabs>
      <w:spacing w:lineRule="auto" w:line="240"/>
      <w:ind w:hanging="0"/>
      <w:jc w:val="center"/>
      <w:rPr>
        <w:i/>
        <w:i/>
        <w:sz w:val="22"/>
        <w:szCs w:val="24"/>
      </w:rPr>
    </w:pPr>
    <w:r>
      <w:rPr>
        <w:i/>
        <w:sz w:val="22"/>
        <w:szCs w:val="24"/>
      </w:rPr>
      <w:t>ТФД №1.1.1 Договор подряда на выполнение работ по реконструкции/ модернизации «под ключ» (для выполнения программы технического перевооружения и реконструкции основных фондов), предусматривающий несколько этапов, банковские гарантии по возврату аванса и надлежащего исполнения обязательств (с оговорками по привлечению МСП на субподряд)</w: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upperRoman"/>
      <w:lvlText w:val="%1."/>
      <w:lvlJc w:val="left"/>
      <w:pPr>
        <w:tabs>
          <w:tab w:val="num" w:pos="0"/>
        </w:tabs>
        <w:ind w:left="1287" w:hanging="7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sz w:val="24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99"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6193c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rsid w:val="00ae674d"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ae674d"/>
    <w:pPr>
      <w:keepNext w:val="true"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5f3f9e"/>
    <w:pPr>
      <w:keepNext w:val="true"/>
      <w:suppressAutoHyphens w:val="true"/>
      <w:spacing w:lineRule="auto" w:line="240" w:before="120" w:after="120"/>
      <w:ind w:hanging="0"/>
      <w:jc w:val="left"/>
      <w:outlineLvl w:val="2"/>
    </w:pPr>
    <w:rPr>
      <w:b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iPriority w:val="99"/>
    <w:qFormat/>
    <w:rsid w:val="00d45657"/>
    <w:rPr>
      <w:vertAlign w:val="superscript"/>
    </w:rPr>
  </w:style>
  <w:style w:type="character" w:styleId="3" w:customStyle="1">
    <w:name w:val="Заголовок 3 Знак"/>
    <w:qFormat/>
    <w:rsid w:val="005f3f9e"/>
    <w:rPr>
      <w:b/>
      <w:sz w:val="28"/>
    </w:rPr>
  </w:style>
  <w:style w:type="character" w:styleId="31" w:customStyle="1">
    <w:name w:val="3. Подпункт Знак"/>
    <w:link w:val="33"/>
    <w:qFormat/>
    <w:rsid w:val="005f4a86"/>
    <w:rPr>
      <w:b/>
      <w:bCs/>
      <w:sz w:val="24"/>
      <w:szCs w:val="24"/>
      <w:lang w:val="x-none" w:eastAsia="x-none"/>
    </w:rPr>
  </w:style>
  <w:style w:type="character" w:styleId="Style7" w:customStyle="1">
    <w:name w:val="Текст выноски Знак"/>
    <w:link w:val="BalloonText"/>
    <w:qFormat/>
    <w:rsid w:val="00dc2b59"/>
    <w:rPr>
      <w:rFonts w:ascii="Tahoma" w:hAnsi="Tahoma" w:cs="Tahoma"/>
      <w:sz w:val="16"/>
      <w:szCs w:val="16"/>
    </w:rPr>
  </w:style>
  <w:style w:type="character" w:styleId="1" w:customStyle="1">
    <w:name w:val="1. Статья Знак"/>
    <w:link w:val="12"/>
    <w:qFormat/>
    <w:rsid w:val="00f50d64"/>
    <w:rPr>
      <w:sz w:val="24"/>
      <w:szCs w:val="24"/>
      <w:lang w:val="x-none" w:eastAsia="x-none"/>
    </w:rPr>
  </w:style>
  <w:style w:type="character" w:styleId="4" w:customStyle="1">
    <w:name w:val="4. Отчерк Знак"/>
    <w:link w:val="41"/>
    <w:qFormat/>
    <w:rsid w:val="00f50d64"/>
    <w:rPr>
      <w:sz w:val="24"/>
      <w:szCs w:val="24"/>
      <w:lang w:val="x-none" w:eastAsia="x-none"/>
    </w:rPr>
  </w:style>
  <w:style w:type="character" w:styleId="Annotationreference">
    <w:name w:val="annotation reference"/>
    <w:qFormat/>
    <w:rsid w:val="00f50d64"/>
    <w:rPr>
      <w:sz w:val="16"/>
      <w:szCs w:val="16"/>
    </w:rPr>
  </w:style>
  <w:style w:type="character" w:styleId="Style8" w:customStyle="1">
    <w:name w:val="Текст примечания Знак"/>
    <w:link w:val="Annotationtext"/>
    <w:qFormat/>
    <w:rsid w:val="00f50d64"/>
    <w:rPr/>
  </w:style>
  <w:style w:type="character" w:styleId="Style9" w:customStyle="1">
    <w:name w:val="Тема примечания Знак"/>
    <w:link w:val="Annotationsubject"/>
    <w:qFormat/>
    <w:rsid w:val="00f50d64"/>
    <w:rPr>
      <w:b/>
      <w:bCs/>
    </w:rPr>
  </w:style>
  <w:style w:type="character" w:styleId="Style10" w:customStyle="1">
    <w:name w:val="Нижний колонтитул Знак"/>
    <w:uiPriority w:val="99"/>
    <w:qFormat/>
    <w:rsid w:val="0043217c"/>
    <w:rPr>
      <w:sz w:val="28"/>
      <w:szCs w:val="28"/>
    </w:rPr>
  </w:style>
  <w:style w:type="character" w:styleId="32" w:customStyle="1">
    <w:name w:val="Основной текст 3 Знак"/>
    <w:link w:val="BodyText3"/>
    <w:qFormat/>
    <w:rsid w:val="001d2676"/>
    <w:rPr>
      <w:color w:val="0000FF"/>
      <w:sz w:val="24"/>
      <w:szCs w:val="24"/>
      <w:lang w:eastAsia="en-US"/>
    </w:rPr>
  </w:style>
  <w:style w:type="character" w:styleId="Style11" w:customStyle="1">
    <w:name w:val="Заголовок Знак"/>
    <w:qFormat/>
    <w:rsid w:val="00ae674d"/>
    <w:rPr>
      <w:sz w:val="22"/>
      <w:szCs w:val="22"/>
      <w:shd w:fill="FFFFFF" w:val="clear"/>
    </w:rPr>
  </w:style>
  <w:style w:type="character" w:styleId="11" w:customStyle="1">
    <w:name w:val="Заголовок 1 Знак"/>
    <w:qFormat/>
    <w:rsid w:val="00ae674d"/>
    <w:rPr>
      <w:rFonts w:ascii="Cambria" w:hAnsi="Cambria" w:eastAsia="Times New Roman" w:cs="Times New Roman"/>
      <w:b/>
      <w:bCs/>
      <w:sz w:val="32"/>
      <w:szCs w:val="32"/>
    </w:rPr>
  </w:style>
  <w:style w:type="character" w:styleId="2" w:customStyle="1">
    <w:name w:val="Заголовок 2 Знак"/>
    <w:semiHidden/>
    <w:qFormat/>
    <w:rsid w:val="00ae674d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2" w:customStyle="1">
    <w:name w:val="Основной текст с отступом Знак"/>
    <w:qFormat/>
    <w:rsid w:val="00ae674d"/>
    <w:rPr>
      <w:sz w:val="28"/>
      <w:szCs w:val="28"/>
    </w:rPr>
  </w:style>
  <w:style w:type="character" w:styleId="FontStyle16" w:customStyle="1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uiPriority w:val="99"/>
    <w:qFormat/>
    <w:rsid w:val="00f43f0d"/>
    <w:rPr/>
  </w:style>
  <w:style w:type="character" w:styleId="Hyperlink">
    <w:name w:val="Hyperlink"/>
    <w:uiPriority w:val="99"/>
    <w:unhideWhenUsed/>
    <w:rsid w:val="00ee68c6"/>
    <w:rPr>
      <w:color w:val="0000FF"/>
      <w:u w:val="single"/>
    </w:rPr>
  </w:style>
  <w:style w:type="character" w:styleId="Style14" w:customStyle="1">
    <w:name w:val="Текст концевой сноски Знак"/>
    <w:uiPriority w:val="99"/>
    <w:semiHidden/>
    <w:qFormat/>
    <w:rsid w:val="008c02d8"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sid w:val="008c02d8"/>
    <w:rPr>
      <w:vertAlign w:val="superscript"/>
    </w:rPr>
  </w:style>
  <w:style w:type="character" w:styleId="Style16" w:customStyle="1">
    <w:name w:val="Абзац списка Знак"/>
    <w:link w:val="ListParagraph"/>
    <w:uiPriority w:val="34"/>
    <w:qFormat/>
    <w:locked/>
    <w:rsid w:val="0047622f"/>
    <w:rPr>
      <w:sz w:val="24"/>
      <w:szCs w:val="24"/>
    </w:rPr>
  </w:style>
  <w:style w:type="character" w:styleId="Style17" w:customStyle="1">
    <w:name w:val="Верхний колонтитул Знак"/>
    <w:basedOn w:val="DefaultParagraphFont"/>
    <w:qFormat/>
    <w:rsid w:val="005571aa"/>
    <w:rPr>
      <w:sz w:val="28"/>
      <w:szCs w:val="28"/>
    </w:rPr>
  </w:style>
  <w:style w:type="character" w:styleId="WW8Num1z0">
    <w:name w:val="WW8Num1z0"/>
    <w:qFormat/>
    <w:rPr>
      <w:rFonts w:ascii="Times New Roman" w:hAnsi="Times New Roman" w:cs="Times New Roman"/>
      <w:sz w:val="18"/>
      <w:szCs w:val="18"/>
    </w:rPr>
  </w:style>
  <w:style w:type="character" w:styleId="Style18">
    <w:name w:val="Маркеры"/>
    <w:qFormat/>
    <w:rPr>
      <w:rFonts w:ascii="OpenSymbol" w:hAnsi="OpenSymbol" w:eastAsia="OpenSymbol" w:cs="OpenSymbol"/>
    </w:rPr>
  </w:style>
  <w:style w:type="character" w:styleId="Style19">
    <w:name w:val="Символы концевой сноски"/>
    <w:qFormat/>
    <w:rPr/>
  </w:style>
  <w:style w:type="character" w:styleId="FollowedHyperlink">
    <w:name w:val="FollowedHyperlink"/>
    <w:rPr>
      <w:color w:val="800080"/>
      <w:u w:val="single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1">
    <w:name w:val="Footnote Reference1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3">
    <w:name w:val="Footnote Reference3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2">
    <w:name w:val="Footnote Reference2"/>
    <w:qFormat/>
    <w:rPr>
      <w:vertAlign w:val="superscript"/>
    </w:rPr>
  </w:style>
  <w:style w:type="character" w:styleId="EndnoteReference11">
    <w:name w:val="Endnote Reference11"/>
    <w:qFormat/>
    <w:rPr>
      <w:vertAlign w:val="superscript"/>
    </w:rPr>
  </w:style>
  <w:style w:type="character" w:styleId="WW-">
    <w:name w:val="WW-Символы концевой сноски"/>
    <w:qFormat/>
    <w:rPr/>
  </w:style>
  <w:style w:type="character" w:styleId="FootnoteReference11">
    <w:name w:val="Footnote Reference11"/>
    <w:qFormat/>
    <w:rPr>
      <w:vertAlign w:val="superscript"/>
    </w:rPr>
  </w:style>
  <w:style w:type="character" w:styleId="Style20">
    <w:name w:val="Название Знак"/>
    <w:qFormat/>
    <w:rPr>
      <w:b/>
      <w:bCs/>
      <w:sz w:val="24"/>
      <w:szCs w:val="24"/>
    </w:rPr>
  </w:style>
  <w:style w:type="character" w:styleId="Style21">
    <w:name w:val="Основной текст Знак"/>
    <w:qFormat/>
    <w:rPr>
      <w:sz w:val="24"/>
      <w:szCs w:val="24"/>
    </w:rPr>
  </w:style>
  <w:style w:type="character" w:styleId="Style22">
    <w:name w:val="Знак примечания"/>
    <w:qFormat/>
    <w:rPr>
      <w:sz w:val="16"/>
      <w:szCs w:val="16"/>
    </w:rPr>
  </w:style>
  <w:style w:type="character" w:styleId="PageNumber">
    <w:name w:val="Page Number"/>
    <w:basedOn w:val="Style23"/>
    <w:rPr/>
  </w:style>
  <w:style w:type="character" w:styleId="Style23">
    <w:name w:val="Основной шрифт абзаца"/>
    <w:qFormat/>
    <w:rPr/>
  </w:style>
  <w:style w:type="character" w:styleId="WW8Num29z0">
    <w:name w:val="WW8Num29z0"/>
    <w:qFormat/>
    <w:rPr/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Symbol" w:hAnsi="Symbol" w:cs="Symbol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>
      <w:b w:val="false"/>
      <w:sz w:val="24"/>
      <w:szCs w:val="24"/>
    </w:rPr>
  </w:style>
  <w:style w:type="character" w:styleId="WW8Num24z1">
    <w:name w:val="WW8Num24z1"/>
    <w:qFormat/>
    <w:rPr>
      <w:b w:val="false"/>
      <w:u w:val="none"/>
    </w:rPr>
  </w:style>
  <w:style w:type="character" w:styleId="WW8Num24z0">
    <w:name w:val="WW8Num24z0"/>
    <w:qFormat/>
    <w:rPr>
      <w:b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>
      <w:sz w:val="24"/>
      <w:szCs w:val="24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Symbol" w:hAnsi="Symbol" w:cs="Symbol"/>
    </w:rPr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>
      <w:b w:val="false"/>
      <w:sz w:val="24"/>
      <w:szCs w:val="24"/>
    </w:rPr>
  </w:style>
  <w:style w:type="character" w:styleId="WW8Num20z1">
    <w:name w:val="WW8Num20z1"/>
    <w:qFormat/>
    <w:rPr>
      <w:rFonts w:ascii="Symbol" w:hAnsi="Symbol" w:cs="Symbol"/>
      <w:b w:val="false"/>
      <w:u w:val="none"/>
    </w:rPr>
  </w:style>
  <w:style w:type="character" w:styleId="WW8Num20z0">
    <w:name w:val="WW8Num20z0"/>
    <w:qFormat/>
    <w:rPr>
      <w:b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b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Times New Roman" w:hAnsi="Times New Roman" w:cs="Times New Roman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0">
    <w:name w:val="WW8Num15z0"/>
    <w:qFormat/>
    <w:rPr>
      <w:rFonts w:ascii="Symbol" w:hAnsi="Symbol" w:cs="Symbol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>
      <w:sz w:val="24"/>
      <w:szCs w:val="24"/>
    </w:rPr>
  </w:style>
  <w:style w:type="character" w:styleId="WW8Num13z0">
    <w:name w:val="WW8Num13z0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1z0">
    <w:name w:val="WW8Num11z0"/>
    <w:qFormat/>
    <w:rPr>
      <w:sz w:val="24"/>
      <w:szCs w:val="24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0z0">
    <w:name w:val="WW8Num10z0"/>
    <w:qFormat/>
    <w:rPr>
      <w:sz w:val="24"/>
      <w:szCs w:val="24"/>
      <w:shd w:fill="C0C0C0" w:val="clear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2">
    <w:name w:val="WW8Num5z2"/>
    <w:qFormat/>
    <w:rPr/>
  </w:style>
  <w:style w:type="character" w:styleId="WW8Num5z1">
    <w:name w:val="WW8Num5z1"/>
    <w:qFormat/>
    <w:rPr>
      <w:b w:val="false"/>
      <w:bCs/>
      <w:i w:val="false"/>
    </w:rPr>
  </w:style>
  <w:style w:type="character" w:styleId="WW8Num5z0">
    <w:name w:val="WW8Num5z0"/>
    <w:qFormat/>
    <w:rPr>
      <w:b/>
    </w:rPr>
  </w:style>
  <w:style w:type="character" w:styleId="WW8Num4z2">
    <w:name w:val="WW8Num4z2"/>
    <w:qFormat/>
    <w:rPr>
      <w:bCs/>
      <w:sz w:val="24"/>
      <w:shd w:fill="C0C0C0" w:val="clear"/>
      <w:lang w:val="en-US"/>
    </w:rPr>
  </w:style>
  <w:style w:type="character" w:styleId="WW8Num4z1">
    <w:name w:val="WW8Num4z1"/>
    <w:qFormat/>
    <w:rPr>
      <w:bCs/>
      <w:i w:val="false"/>
      <w:sz w:val="24"/>
      <w:shd w:fill="C0C0C0" w:val="clear"/>
    </w:rPr>
  </w:style>
  <w:style w:type="character" w:styleId="WW8Num4z0">
    <w:name w:val="WW8Num4z0"/>
    <w:qFormat/>
    <w:rPr>
      <w:b/>
      <w:bCs/>
    </w:rPr>
  </w:style>
  <w:style w:type="character" w:styleId="WW8Num3z0">
    <w:name w:val="WW8Num3z0"/>
    <w:qFormat/>
    <w:rPr>
      <w:b/>
      <w:bCs/>
      <w:shd w:fill="C0C0C0" w:val="clear"/>
    </w:rPr>
  </w:style>
  <w:style w:type="character" w:styleId="WW8Num2z0">
    <w:name w:val="WW8Num2z0"/>
    <w:qFormat/>
    <w:rPr>
      <w:rFonts w:ascii="Symbol" w:hAnsi="Symbol" w:cs="Symbol"/>
    </w:rPr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rsid w:val="004b090f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BodyText3">
    <w:name w:val="Body Text 3"/>
    <w:basedOn w:val="Normal"/>
    <w:link w:val="32"/>
    <w:qFormat/>
    <w:rsid w:val="004b090f"/>
    <w:pPr>
      <w:spacing w:lineRule="auto" w:line="240"/>
      <w:ind w:hanging="0"/>
    </w:pPr>
    <w:rPr>
      <w:color w:val="0000FF"/>
      <w:sz w:val="24"/>
      <w:szCs w:val="24"/>
      <w:lang w:val="x-none" w:eastAsia="en-US"/>
    </w:rPr>
  </w:style>
  <w:style w:type="paragraph" w:styleId="Style26">
    <w:name w:val="Колонтитул"/>
    <w:basedOn w:val="Normal"/>
    <w:qFormat/>
    <w:pPr/>
    <w:rPr/>
  </w:style>
  <w:style w:type="paragraph" w:styleId="Header">
    <w:name w:val="Header"/>
    <w:basedOn w:val="Normal"/>
    <w:link w:val="Style17"/>
    <w:rsid w:val="004b090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4b090f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rsid w:val="004b090f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7" w:customStyle="1">
    <w:name w:val="Знак"/>
    <w:basedOn w:val="Normal"/>
    <w:qFormat/>
    <w:rsid w:val="000873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13"/>
    <w:uiPriority w:val="99"/>
    <w:rsid w:val="00d45657"/>
    <w:pPr>
      <w:spacing w:lineRule="auto" w:line="240"/>
      <w:ind w:hanging="0"/>
      <w:jc w:val="left"/>
    </w:pPr>
    <w:rPr>
      <w:sz w:val="20"/>
      <w:szCs w:val="20"/>
    </w:rPr>
  </w:style>
  <w:style w:type="paragraph" w:styleId="Style28" w:customStyle="1">
    <w:name w:val="Знак Знак Знак Знак Знак Знак Знак"/>
    <w:basedOn w:val="Normal"/>
    <w:qFormat/>
    <w:rsid w:val="0077363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Знак2"/>
    <w:basedOn w:val="Normal"/>
    <w:qFormat/>
    <w:rsid w:val="00f65662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9" w:customStyle="1">
    <w:name w:val="Знак Знак Знак Знак Знак Знак Знак Знак Знак"/>
    <w:basedOn w:val="Normal"/>
    <w:qFormat/>
    <w:rsid w:val="007c5ecd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30" w:customStyle="1">
    <w:name w:val="Пункт договора"/>
    <w:basedOn w:val="Normal"/>
    <w:qFormat/>
    <w:rsid w:val="004d4328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31" w:customStyle="1">
    <w:name w:val="Подпункт договора"/>
    <w:basedOn w:val="Normal"/>
    <w:qFormat/>
    <w:rsid w:val="00617a62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rsid w:val="006329b9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16"/>
    <w:uiPriority w:val="34"/>
    <w:qFormat/>
    <w:rsid w:val="005f3f9e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"/>
    <w:qFormat/>
    <w:rsid w:val="005f4a86"/>
    <w:pPr>
      <w:keepNext w:val="false"/>
      <w:widowControl w:val="false"/>
      <w:tabs>
        <w:tab w:val="clear" w:pos="708"/>
        <w:tab w:val="left" w:pos="2340" w:leader="none"/>
      </w:tabs>
      <w:suppressAutoHyphens w:val="false"/>
      <w:overflowPunct w:val="fals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2" w:customStyle="1">
    <w:name w:val="2. Пункт"/>
    <w:basedOn w:val="Heading3"/>
    <w:qFormat/>
    <w:rsid w:val="005f4a86"/>
    <w:pPr>
      <w:keepNext w:val="false"/>
      <w:widowControl w:val="false"/>
      <w:suppressAutoHyphens w:val="false"/>
      <w:overflowPunct w:val="fals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link w:val="31"/>
    <w:qFormat/>
    <w:rsid w:val="005f4a86"/>
    <w:pPr>
      <w:keepNext w:val="false"/>
      <w:widowControl w:val="false"/>
      <w:tabs>
        <w:tab w:val="clear" w:pos="708"/>
        <w:tab w:val="left" w:pos="1620" w:leader="none"/>
      </w:tabs>
      <w:suppressAutoHyphens w:val="false"/>
      <w:overflowPunct w:val="fals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8a113a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00000A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7"/>
    <w:qFormat/>
    <w:rsid w:val="00dc2b59"/>
    <w:pPr>
      <w:spacing w:lineRule="auto" w:line="240"/>
    </w:pPr>
    <w:rPr>
      <w:rFonts w:ascii="Tahoma" w:hAnsi="Tahoma"/>
      <w:sz w:val="16"/>
      <w:szCs w:val="16"/>
      <w:lang w:val="x-none" w:eastAsia="x-none"/>
    </w:rPr>
  </w:style>
  <w:style w:type="paragraph" w:styleId="41" w:customStyle="1">
    <w:name w:val="4. Отчерк"/>
    <w:basedOn w:val="Normal"/>
    <w:link w:val="4"/>
    <w:qFormat/>
    <w:rsid w:val="00f50d64"/>
    <w:pPr>
      <w:widowControl w:val="false"/>
      <w:spacing w:lineRule="auto" w:line="240"/>
    </w:pPr>
    <w:rPr>
      <w:sz w:val="24"/>
      <w:szCs w:val="24"/>
      <w:lang w:val="x-none" w:eastAsia="x-none"/>
    </w:rPr>
  </w:style>
  <w:style w:type="paragraph" w:styleId="Annotationtext">
    <w:name w:val="annotation text"/>
    <w:basedOn w:val="Normal"/>
    <w:link w:val="Style8"/>
    <w:qFormat/>
    <w:rsid w:val="00f50d64"/>
    <w:pPr>
      <w:spacing w:lineRule="auto" w:line="240"/>
    </w:pPr>
    <w:rPr>
      <w:sz w:val="20"/>
      <w:szCs w:val="20"/>
      <w:lang w:val="x-none" w:eastAsia="x-none"/>
    </w:rPr>
  </w:style>
  <w:style w:type="paragraph" w:styleId="Annotationsubject">
    <w:name w:val="annotation subject"/>
    <w:basedOn w:val="Annotationtext"/>
    <w:link w:val="Style9"/>
    <w:qFormat/>
    <w:rsid w:val="00f50d64"/>
    <w:pPr/>
    <w:rPr>
      <w:b/>
      <w:bCs/>
    </w:rPr>
  </w:style>
  <w:style w:type="paragraph" w:styleId="Footer">
    <w:name w:val="Footer"/>
    <w:basedOn w:val="Normal"/>
    <w:link w:val="Style10"/>
    <w:uiPriority w:val="99"/>
    <w:rsid w:val="0043217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>
      <w:lang w:val="x-none" w:eastAsia="x-none"/>
    </w:rPr>
  </w:style>
  <w:style w:type="paragraph" w:styleId="Revision">
    <w:name w:val="Revision"/>
    <w:uiPriority w:val="99"/>
    <w:semiHidden/>
    <w:qFormat/>
    <w:rsid w:val="003003e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Title" w:customStyle="1">
    <w:name w:val="Title"/>
    <w:basedOn w:val="Normal"/>
    <w:link w:val="Style11"/>
    <w:qFormat/>
    <w:rsid w:val="00ae674d"/>
    <w:pPr>
      <w:widowControl w:val="false"/>
      <w:overflowPunct w:val="fals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12"/>
    <w:rsid w:val="00ae674d"/>
    <w:pPr>
      <w:spacing w:before="0" w:after="120"/>
      <w:ind w:left="283" w:firstLine="567"/>
    </w:pPr>
    <w:rPr>
      <w:lang w:val="x-none" w:eastAsia="x-none"/>
    </w:rPr>
  </w:style>
  <w:style w:type="paragraph" w:styleId="333" w:customStyle="1">
    <w:name w:val="Пункт 3.3.3"/>
    <w:basedOn w:val="Normal"/>
    <w:qFormat/>
    <w:rsid w:val="00ae674d"/>
    <w:pPr>
      <w:keepNext w:val="true"/>
      <w:keepLines/>
      <w:widowControl w:val="false"/>
      <w:tabs>
        <w:tab w:val="clear" w:pos="708"/>
        <w:tab w:val="left" w:pos="920" w:leader="none"/>
      </w:tabs>
      <w:overflowPunct w:val="false"/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Caption1">
    <w:name w:val="caption1"/>
    <w:basedOn w:val="Normal"/>
    <w:next w:val="Normal"/>
    <w:qFormat/>
    <w:rsid w:val="00ae674d"/>
    <w:pPr>
      <w:widowControl w:val="false"/>
      <w:overflowPunct w:val="fals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3" w:customStyle="1">
    <w:name w:val="Знак1"/>
    <w:basedOn w:val="Normal"/>
    <w:qFormat/>
    <w:rsid w:val="00f43f0d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rsid w:val="00f43f0d"/>
    <w:pPr>
      <w:keepNext w:val="true"/>
      <w:keepLines/>
      <w:tabs>
        <w:tab w:val="clear" w:pos="708"/>
        <w:tab w:val="left" w:pos="0" w:leader="none"/>
        <w:tab w:val="left" w:pos="567" w:leader="none"/>
      </w:tabs>
      <w:suppressAutoHyphens w:val="true"/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rsid w:val="00f43f0d"/>
    <w:pPr/>
    <w:rPr/>
  </w:style>
  <w:style w:type="paragraph" w:styleId="-2" w:customStyle="1">
    <w:name w:val="Контракт-подпункт"/>
    <w:basedOn w:val="Normal"/>
    <w:qFormat/>
    <w:rsid w:val="00f43f0d"/>
    <w:pPr/>
    <w:rPr/>
  </w:style>
  <w:style w:type="paragraph" w:styleId="-3" w:customStyle="1">
    <w:name w:val="Контракт-подподпункт"/>
    <w:basedOn w:val="Normal"/>
    <w:qFormat/>
    <w:rsid w:val="00f43f0d"/>
    <w:pPr/>
    <w:rPr/>
  </w:style>
  <w:style w:type="paragraph" w:styleId="EndnoteSymbol">
    <w:name w:val="Endnote Symbol"/>
    <w:basedOn w:val="Normal"/>
    <w:link w:val="Style14"/>
    <w:uiPriority w:val="99"/>
    <w:semiHidden/>
    <w:unhideWhenUsed/>
    <w:qFormat/>
    <w:rsid w:val="008c02d8"/>
    <w:pPr/>
    <w:rPr>
      <w:sz w:val="20"/>
      <w:szCs w:val="20"/>
      <w:lang w:val="x-none" w:eastAsia="x-none"/>
    </w:rPr>
  </w:style>
  <w:style w:type="paragraph" w:styleId="ConsPlusNonformat" w:customStyle="1">
    <w:name w:val="ConsPlusNonformat"/>
    <w:qFormat/>
    <w:rsid w:val="002e3213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0"/>
      <w:szCs w:val="20"/>
      <w:lang w:val="ru-RU" w:eastAsia="ru-RU" w:bidi="ar-SA"/>
    </w:rPr>
  </w:style>
  <w:style w:type="paragraph" w:styleId="IndexHeading">
    <w:name w:val="Index Heading"/>
    <w:basedOn w:val="Style24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71aa"/>
    <w:pPr>
      <w:keepLines/>
      <w:spacing w:lineRule="auto" w:line="276" w:before="480" w:after="0"/>
      <w:ind w:hanging="0"/>
      <w:jc w:val="left"/>
    </w:pPr>
    <w:rPr>
      <w:rFonts w:ascii="Cambria" w:hAnsi="Cambria" w:eastAsia="" w:cs="" w:asciiTheme="majorHAnsi" w:cstheme="majorBidi" w:eastAsiaTheme="majorEastAsia" w:hAnsiTheme="majorHAnsi"/>
      <w:color w:val="365F91"/>
      <w:sz w:val="28"/>
      <w:szCs w:val="28"/>
      <w:lang w:val="ru-RU" w:eastAsia="ru-RU"/>
    </w:rPr>
  </w:style>
  <w:style w:type="paragraph" w:styleId="Style32">
    <w:name w:val="Содержимое врезки"/>
    <w:basedOn w:val="Normal"/>
    <w:qFormat/>
    <w:pPr/>
    <w:rPr/>
  </w:style>
  <w:style w:type="paragraph" w:styleId="Style33">
    <w:name w:val="Содержимое таблицы"/>
    <w:basedOn w:val="Normal"/>
    <w:qFormat/>
    <w:pPr>
      <w:widowControl w:val="false"/>
      <w:suppressLineNumbers/>
    </w:pPr>
    <w:rPr/>
  </w:style>
  <w:style w:type="paragraph" w:styleId="Style34">
    <w:name w:val="Заголовок таблицы"/>
    <w:basedOn w:val="Style33"/>
    <w:qFormat/>
    <w:pPr>
      <w:suppressLineNumbers/>
      <w:jc w:val="center"/>
    </w:pPr>
    <w:rPr>
      <w:b/>
      <w:bCs/>
    </w:rPr>
  </w:style>
  <w:style w:type="paragraph" w:styleId="14">
    <w:name w:val="Знак Знак Знак Знак Знак Знак Знак Знак Знак1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0"/>
      <w:lang w:val="en-US"/>
    </w:rPr>
  </w:style>
  <w:style w:type="paragraph" w:styleId="34">
    <w:name w:val="Основной текст 3"/>
    <w:basedOn w:val="Normal"/>
    <w:qFormat/>
    <w:pPr>
      <w:jc w:val="both"/>
    </w:pPr>
    <w:rPr>
      <w:color w:val="0000FF"/>
      <w:lang w:val="ru-RU"/>
    </w:rPr>
  </w:style>
  <w:style w:type="paragraph" w:styleId="Style35">
    <w:name w:val="Абзац списка"/>
    <w:basedOn w:val="Normal"/>
    <w:qFormat/>
    <w:pPr>
      <w:ind w:left="708" w:right="0" w:hanging="0"/>
    </w:pPr>
    <w:rPr/>
  </w:style>
  <w:style w:type="paragraph" w:styleId="U">
    <w:name w:val="u"/>
    <w:basedOn w:val="Normal"/>
    <w:qFormat/>
    <w:pPr>
      <w:ind w:left="0" w:right="0" w:firstLine="390"/>
      <w:jc w:val="both"/>
    </w:pPr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38">
    <w:name w:val="Тема примечания"/>
    <w:basedOn w:val="Style39"/>
    <w:next w:val="Style39"/>
    <w:qFormat/>
    <w:pPr/>
    <w:rPr>
      <w:b/>
      <w:bCs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Preformat">
    <w:name w:val="Pre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2">
    <w:name w:val="Caption1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336503"/>
    <w:pPr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403FF-1D2E-46B5-9ED7-A50FEB4EA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4C73B1-16B0-4945-BC09-183B63910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Application>AlterOffice/3.4.0.9$Linux_X86_64 LibreOffice_project/b8daf9e823b1a5463a2f48435ddc2e8696e7d4fc</Application>
  <AppVersion>15.0000</AppVersion>
  <Pages>2</Pages>
  <Words>721</Words>
  <Characters>5427</Characters>
  <CharactersWithSpaces>6087</CharactersWithSpaces>
  <Paragraphs>51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2022-11-01T07:03:00Z</dcterms:created>
  <dc:creator>UK VoHEC</dc:creator>
  <dc:description/>
  <dc:language>ru-RU</dc:language>
  <cp:lastModifiedBy>evsyukov_ka</cp:lastModifiedBy>
  <cp:lastPrinted>2017-08-25T15:35:00Z</cp:lastPrinted>
  <dcterms:modified xsi:type="dcterms:W3CDTF">2026-07-29T08:47:56Z</dcterms:modified>
  <cp:revision>58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